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bookmarkStart w:id="0" w:name="_GoBack"/>
      <w:bookmarkEnd w:id="0"/>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826"/>
        <w:gridCol w:w="1446"/>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lastRenderedPageBreak/>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DC2F94">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826"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446"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DC2F94" w:rsidRPr="00513AA2" w:rsidTr="00DC2F94">
        <w:trPr>
          <w:trHeight w:val="1474"/>
          <w:jc w:val="center"/>
        </w:trPr>
        <w:tc>
          <w:tcPr>
            <w:tcW w:w="1713" w:type="dxa"/>
          </w:tcPr>
          <w:p w:rsidR="00DC2F94" w:rsidRPr="00CD12F0" w:rsidRDefault="00DC2F94" w:rsidP="00DC2F94">
            <w:pPr>
              <w:pStyle w:val="Heading2"/>
              <w:rPr>
                <w:b w:val="0"/>
                <w:color w:val="000000" w:themeColor="text1"/>
                <w:sz w:val="24"/>
                <w:szCs w:val="24"/>
              </w:rPr>
            </w:pPr>
            <w:r w:rsidRPr="00CD12F0">
              <w:rPr>
                <w:b w:val="0"/>
                <w:color w:val="000000" w:themeColor="text1"/>
                <w:sz w:val="24"/>
                <w:szCs w:val="24"/>
              </w:rPr>
              <w:t>Supplier Attendance</w:t>
            </w:r>
          </w:p>
        </w:tc>
        <w:tc>
          <w:tcPr>
            <w:tcW w:w="1826" w:type="dxa"/>
          </w:tcPr>
          <w:p w:rsidR="00DC2F94" w:rsidRPr="00513AA2" w:rsidRDefault="00DC2F94" w:rsidP="00DC2F94">
            <w:pPr>
              <w:spacing w:after="120"/>
              <w:ind w:left="95"/>
              <w:rPr>
                <w:rFonts w:ascii="Arial" w:hAnsi="Arial" w:cs="Arial"/>
                <w:sz w:val="24"/>
                <w:szCs w:val="24"/>
              </w:rPr>
            </w:pPr>
            <w:r>
              <w:rPr>
                <w:rFonts w:ascii="Arial" w:hAnsi="Arial" w:cs="Arial"/>
                <w:sz w:val="24"/>
                <w:szCs w:val="24"/>
              </w:rPr>
              <w:t xml:space="preserve">Attendance </w:t>
            </w:r>
          </w:p>
        </w:tc>
        <w:tc>
          <w:tcPr>
            <w:tcW w:w="1446" w:type="dxa"/>
          </w:tcPr>
          <w:p w:rsidR="00DC2F94" w:rsidRPr="00CD12F0" w:rsidRDefault="00DC2F94" w:rsidP="00DC2F94">
            <w:pPr>
              <w:pStyle w:val="Heading2"/>
              <w:rPr>
                <w:b w:val="0"/>
                <w:color w:val="000000" w:themeColor="text1"/>
                <w:sz w:val="24"/>
                <w:szCs w:val="24"/>
              </w:rPr>
            </w:pPr>
            <w:r>
              <w:rPr>
                <w:b w:val="0"/>
                <w:color w:val="000000" w:themeColor="text1"/>
                <w:sz w:val="24"/>
                <w:szCs w:val="24"/>
              </w:rPr>
              <w:t>98%</w:t>
            </w:r>
          </w:p>
        </w:tc>
        <w:tc>
          <w:tcPr>
            <w:tcW w:w="1418" w:type="dxa"/>
          </w:tcPr>
          <w:p w:rsidR="00DC2F94" w:rsidRPr="00786D97" w:rsidRDefault="00DC2F94" w:rsidP="00DC2F94">
            <w:r w:rsidRPr="00786D97">
              <w:t>Supplier attendance at key meetings</w:t>
            </w:r>
          </w:p>
        </w:tc>
        <w:tc>
          <w:tcPr>
            <w:tcW w:w="2102" w:type="dxa"/>
          </w:tcPr>
          <w:p w:rsidR="00DC2F94" w:rsidRPr="00513AA2" w:rsidRDefault="00DC2F94" w:rsidP="00DC2F94">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DC2F94" w:rsidRPr="00513AA2" w:rsidTr="00DC2F94">
        <w:trPr>
          <w:trHeight w:val="1474"/>
          <w:jc w:val="center"/>
        </w:trPr>
        <w:tc>
          <w:tcPr>
            <w:tcW w:w="1713" w:type="dxa"/>
          </w:tcPr>
          <w:p w:rsidR="00DC2F94" w:rsidRPr="00CD12F0" w:rsidRDefault="00DC2F94" w:rsidP="00DC2F94">
            <w:pPr>
              <w:pStyle w:val="Heading2"/>
              <w:rPr>
                <w:b w:val="0"/>
                <w:color w:val="000000" w:themeColor="text1"/>
                <w:sz w:val="24"/>
                <w:szCs w:val="24"/>
              </w:rPr>
            </w:pPr>
            <w:r w:rsidRPr="00CD12F0">
              <w:rPr>
                <w:b w:val="0"/>
                <w:color w:val="000000" w:themeColor="text1"/>
                <w:sz w:val="24"/>
                <w:szCs w:val="24"/>
              </w:rPr>
              <w:t>Supplier Responsiveness</w:t>
            </w:r>
          </w:p>
        </w:tc>
        <w:tc>
          <w:tcPr>
            <w:tcW w:w="1826" w:type="dxa"/>
          </w:tcPr>
          <w:p w:rsidR="00DC2F94" w:rsidRPr="00513AA2" w:rsidRDefault="00DC2F94" w:rsidP="00DC2F94">
            <w:pPr>
              <w:spacing w:after="120"/>
              <w:ind w:left="95"/>
              <w:rPr>
                <w:rFonts w:ascii="Arial" w:hAnsi="Arial" w:cs="Arial"/>
                <w:sz w:val="24"/>
                <w:szCs w:val="24"/>
              </w:rPr>
            </w:pPr>
            <w:r>
              <w:rPr>
                <w:rFonts w:ascii="Arial" w:hAnsi="Arial" w:cs="Arial"/>
                <w:sz w:val="24"/>
                <w:szCs w:val="24"/>
              </w:rPr>
              <w:t xml:space="preserve">Timescale </w:t>
            </w:r>
          </w:p>
          <w:p w:rsidR="00DC2F94" w:rsidRPr="00513AA2" w:rsidRDefault="00DC2F94" w:rsidP="00DC2F94">
            <w:pPr>
              <w:spacing w:after="120"/>
              <w:ind w:left="95"/>
              <w:rPr>
                <w:rFonts w:ascii="Arial" w:hAnsi="Arial" w:cs="Arial"/>
                <w:sz w:val="24"/>
                <w:szCs w:val="24"/>
              </w:rPr>
            </w:pPr>
          </w:p>
        </w:tc>
        <w:tc>
          <w:tcPr>
            <w:tcW w:w="1446" w:type="dxa"/>
          </w:tcPr>
          <w:p w:rsidR="00DC2F94" w:rsidRPr="00CD12F0" w:rsidRDefault="00DC2F94" w:rsidP="00DC2F94">
            <w:pPr>
              <w:pStyle w:val="Heading2"/>
              <w:rPr>
                <w:b w:val="0"/>
                <w:color w:val="000000" w:themeColor="text1"/>
                <w:sz w:val="24"/>
                <w:szCs w:val="24"/>
              </w:rPr>
            </w:pPr>
            <w:r w:rsidRPr="00CD12F0">
              <w:rPr>
                <w:b w:val="0"/>
                <w:color w:val="000000" w:themeColor="text1"/>
                <w:sz w:val="24"/>
                <w:szCs w:val="24"/>
              </w:rPr>
              <w:t>98% of the time</w:t>
            </w:r>
          </w:p>
        </w:tc>
        <w:tc>
          <w:tcPr>
            <w:tcW w:w="1418" w:type="dxa"/>
          </w:tcPr>
          <w:p w:rsidR="00DC2F94" w:rsidRPr="00786D97" w:rsidRDefault="00DC2F94" w:rsidP="00DC2F94">
            <w:r w:rsidRPr="00786D97">
              <w:t>Supplier responds in the same working day to any requests from the ETF submitted by 11am and the next working day to requests submitted after 11am</w:t>
            </w:r>
          </w:p>
        </w:tc>
        <w:tc>
          <w:tcPr>
            <w:tcW w:w="2102" w:type="dxa"/>
          </w:tcPr>
          <w:p w:rsidR="00DC2F94" w:rsidRPr="00513AA2" w:rsidRDefault="00DC2F94" w:rsidP="00DC2F94">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DC2F94" w:rsidRPr="00513AA2" w:rsidTr="00DC2F94">
        <w:trPr>
          <w:trHeight w:val="1474"/>
          <w:jc w:val="center"/>
        </w:trPr>
        <w:tc>
          <w:tcPr>
            <w:tcW w:w="1713" w:type="dxa"/>
          </w:tcPr>
          <w:p w:rsidR="00DC2F94" w:rsidRPr="00CD12F0" w:rsidRDefault="00DC2F94" w:rsidP="00DC2F94">
            <w:pPr>
              <w:pStyle w:val="Heading2"/>
              <w:rPr>
                <w:b w:val="0"/>
                <w:color w:val="000000" w:themeColor="text1"/>
                <w:sz w:val="24"/>
                <w:szCs w:val="24"/>
              </w:rPr>
            </w:pPr>
            <w:r w:rsidRPr="00CD12F0">
              <w:rPr>
                <w:b w:val="0"/>
                <w:color w:val="000000" w:themeColor="text1"/>
                <w:sz w:val="24"/>
                <w:szCs w:val="24"/>
              </w:rPr>
              <w:t>Supplier Responsiveness</w:t>
            </w:r>
          </w:p>
        </w:tc>
        <w:tc>
          <w:tcPr>
            <w:tcW w:w="1826" w:type="dxa"/>
          </w:tcPr>
          <w:p w:rsidR="00DC2F94" w:rsidRPr="00513AA2" w:rsidRDefault="00DC2F94" w:rsidP="00DC2F94">
            <w:pPr>
              <w:spacing w:after="120"/>
              <w:ind w:left="95"/>
              <w:rPr>
                <w:rFonts w:ascii="Arial" w:hAnsi="Arial" w:cs="Arial"/>
                <w:sz w:val="24"/>
                <w:szCs w:val="24"/>
              </w:rPr>
            </w:pPr>
            <w:r>
              <w:rPr>
                <w:rFonts w:ascii="Arial" w:hAnsi="Arial" w:cs="Arial"/>
                <w:sz w:val="24"/>
                <w:szCs w:val="24"/>
              </w:rPr>
              <w:t xml:space="preserve">Timescale </w:t>
            </w:r>
          </w:p>
          <w:p w:rsidR="00DC2F94" w:rsidRPr="00513AA2" w:rsidRDefault="00DC2F94" w:rsidP="00DC2F94">
            <w:pPr>
              <w:spacing w:after="120"/>
              <w:ind w:left="95"/>
              <w:rPr>
                <w:rFonts w:ascii="Arial" w:hAnsi="Arial" w:cs="Arial"/>
                <w:sz w:val="24"/>
                <w:szCs w:val="24"/>
              </w:rPr>
            </w:pPr>
          </w:p>
        </w:tc>
        <w:tc>
          <w:tcPr>
            <w:tcW w:w="1446" w:type="dxa"/>
          </w:tcPr>
          <w:p w:rsidR="00DC2F94" w:rsidRPr="00CD12F0" w:rsidRDefault="00DC2F94" w:rsidP="00DC2F94">
            <w:pPr>
              <w:pStyle w:val="Heading2"/>
              <w:rPr>
                <w:b w:val="0"/>
                <w:color w:val="000000" w:themeColor="text1"/>
                <w:sz w:val="24"/>
                <w:szCs w:val="24"/>
              </w:rPr>
            </w:pPr>
            <w:r w:rsidRPr="00CD12F0">
              <w:rPr>
                <w:b w:val="0"/>
                <w:color w:val="000000" w:themeColor="text1"/>
                <w:sz w:val="24"/>
                <w:szCs w:val="24"/>
              </w:rPr>
              <w:t>98% of the time</w:t>
            </w:r>
          </w:p>
        </w:tc>
        <w:tc>
          <w:tcPr>
            <w:tcW w:w="1418" w:type="dxa"/>
          </w:tcPr>
          <w:p w:rsidR="00DC2F94" w:rsidRDefault="00DC2F94" w:rsidP="00DC2F94">
            <w:r w:rsidRPr="00786D97">
              <w:t>The supplier provides the ETF with at least five working days for reviewing drafts and providing comments</w:t>
            </w:r>
          </w:p>
        </w:tc>
        <w:tc>
          <w:tcPr>
            <w:tcW w:w="2102" w:type="dxa"/>
          </w:tcPr>
          <w:p w:rsidR="00DC2F94" w:rsidRPr="00513AA2" w:rsidRDefault="00DC2F94" w:rsidP="00DC2F94">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9FD" w:rsidRDefault="000419FD">
      <w:pPr>
        <w:spacing w:after="0" w:line="240" w:lineRule="auto"/>
      </w:pPr>
      <w:r>
        <w:separator/>
      </w:r>
    </w:p>
  </w:endnote>
  <w:endnote w:type="continuationSeparator" w:id="0">
    <w:p w:rsidR="000419FD" w:rsidRDefault="00041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9FD" w:rsidRDefault="000419FD">
      <w:pPr>
        <w:spacing w:after="0" w:line="240" w:lineRule="auto"/>
      </w:pPr>
      <w:r>
        <w:separator/>
      </w:r>
    </w:p>
  </w:footnote>
  <w:footnote w:type="continuationSeparator" w:id="0">
    <w:p w:rsidR="000419FD" w:rsidRDefault="000419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D09128A"/>
    <w:multiLevelType w:val="multilevel"/>
    <w:tmpl w:val="B1EAE62A"/>
    <w:lvl w:ilvl="0">
      <w:numFmt w:val="decimal"/>
      <w:pStyle w:val="Heading1"/>
      <w:lvlText w:val="%1."/>
      <w:lvlJc w:val="left"/>
      <w:pPr>
        <w:ind w:left="720" w:hanging="360"/>
      </w:pPr>
      <w:rPr>
        <w:rFonts w:ascii="Arial" w:eastAsia="Arial" w:hAnsi="Arial" w:cs="Arial"/>
        <w:b/>
        <w:u w:val="none"/>
      </w:rPr>
    </w:lvl>
    <w:lvl w:ilvl="1">
      <w:start w:val="1"/>
      <w:numFmt w:val="lowerLetter"/>
      <w:pStyle w:val="Heading2"/>
      <w:lvlText w:val="%2."/>
      <w:lvlJc w:val="left"/>
      <w:pPr>
        <w:ind w:left="1440" w:hanging="360"/>
      </w:pPr>
      <w:rPr>
        <w:u w:val="none"/>
      </w:rPr>
    </w:lvl>
    <w:lvl w:ilvl="2">
      <w:start w:val="1"/>
      <w:numFmt w:val="lowerRoman"/>
      <w:pStyle w:val="Heading3"/>
      <w:lvlText w:val="%3."/>
      <w:lvlJc w:val="right"/>
      <w:pPr>
        <w:ind w:left="2160" w:hanging="360"/>
      </w:pPr>
      <w:rPr>
        <w:u w:val="none"/>
      </w:rPr>
    </w:lvl>
    <w:lvl w:ilvl="3">
      <w:start w:val="1"/>
      <w:numFmt w:val="decimal"/>
      <w:pStyle w:val="Heading4"/>
      <w:lvlText w:val="%4."/>
      <w:lvlJc w:val="left"/>
      <w:pPr>
        <w:ind w:left="2880" w:hanging="360"/>
      </w:pPr>
      <w:rPr>
        <w:u w:val="none"/>
      </w:rPr>
    </w:lvl>
    <w:lvl w:ilvl="4">
      <w:start w:val="1"/>
      <w:numFmt w:val="lowerLetter"/>
      <w:pStyle w:val="Heading5"/>
      <w:lvlText w:val="%5."/>
      <w:lvlJc w:val="left"/>
      <w:pPr>
        <w:ind w:left="3600" w:hanging="360"/>
      </w:pPr>
      <w:rPr>
        <w:u w:val="none"/>
      </w:rPr>
    </w:lvl>
    <w:lvl w:ilvl="5">
      <w:start w:val="1"/>
      <w:numFmt w:val="lowerRoman"/>
      <w:pStyle w:val="Heading6"/>
      <w:lvlText w:val="%6."/>
      <w:lvlJc w:val="right"/>
      <w:pPr>
        <w:ind w:left="4320" w:hanging="360"/>
      </w:pPr>
      <w:rPr>
        <w:u w:val="none"/>
      </w:rPr>
    </w:lvl>
    <w:lvl w:ilvl="6">
      <w:start w:val="1"/>
      <w:numFmt w:val="decimal"/>
      <w:pStyle w:val="Heading7"/>
      <w:lvlText w:val="%7."/>
      <w:lvlJc w:val="left"/>
      <w:pPr>
        <w:ind w:left="5040" w:hanging="360"/>
      </w:pPr>
      <w:rPr>
        <w:u w:val="none"/>
      </w:rPr>
    </w:lvl>
    <w:lvl w:ilvl="7">
      <w:start w:val="1"/>
      <w:numFmt w:val="lowerLetter"/>
      <w:pStyle w:val="Heading8"/>
      <w:lvlText w:val="%8."/>
      <w:lvlJc w:val="left"/>
      <w:pPr>
        <w:ind w:left="5760" w:hanging="360"/>
      </w:pPr>
      <w:rPr>
        <w:u w:val="none"/>
      </w:rPr>
    </w:lvl>
    <w:lvl w:ilvl="8">
      <w:start w:val="1"/>
      <w:numFmt w:val="lowerRoman"/>
      <w:pStyle w:val="Heading9"/>
      <w:lvlText w:val="%9."/>
      <w:lvlJc w:val="right"/>
      <w:pPr>
        <w:ind w:left="6480" w:hanging="360"/>
      </w:pPr>
      <w:rPr>
        <w:u w:val="none"/>
      </w:rPr>
    </w:lvl>
  </w:abstractNum>
  <w:abstractNum w:abstractNumId="6"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6"/>
  </w:num>
  <w:num w:numId="45">
    <w:abstractNumId w:val="9"/>
  </w:num>
  <w:num w:numId="46">
    <w:abstractNumId w:val="9"/>
  </w:num>
  <w:num w:numId="47">
    <w:abstractNumId w:val="3"/>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1"/>
  </w:num>
  <w:num w:numId="71">
    <w:abstractNumId w:val="9"/>
  </w:num>
  <w:num w:numId="72">
    <w:abstractNumId w:val="9"/>
  </w:num>
  <w:num w:numId="73">
    <w:abstractNumId w:val="9"/>
  </w:num>
  <w:num w:numId="74">
    <w:abstractNumId w:val="9"/>
  </w:num>
  <w:num w:numId="75">
    <w:abstractNumId w:val="9"/>
  </w:num>
  <w:num w:numId="76">
    <w:abstractNumId w:val="7"/>
  </w:num>
  <w:num w:numId="77">
    <w:abstractNumId w:val="9"/>
  </w:num>
  <w:num w:numId="78">
    <w:abstractNumId w:val="9"/>
  </w:num>
  <w:num w:numId="79">
    <w:abstractNumId w:val="9"/>
  </w:num>
  <w:num w:numId="80">
    <w:abstractNumId w:val="1"/>
  </w:num>
  <w:num w:numId="81">
    <w:abstractNumId w:val="4"/>
  </w:num>
  <w:num w:numId="82">
    <w:abstractNumId w:val="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419FD"/>
    <w:rsid w:val="000654EE"/>
    <w:rsid w:val="00091B0C"/>
    <w:rsid w:val="000E6EDE"/>
    <w:rsid w:val="00110DCC"/>
    <w:rsid w:val="00513AA2"/>
    <w:rsid w:val="005B6F5F"/>
    <w:rsid w:val="005D1C56"/>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B349E"/>
    <w:rsid w:val="00DC2F94"/>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D5C60A"/>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
    <w:unhideWhenUsed/>
    <w:qFormat/>
    <w:rsid w:val="00DC2F94"/>
    <w:pPr>
      <w:adjustRightInd w:val="0"/>
      <w:spacing w:after="240" w:line="240" w:lineRule="auto"/>
      <w:ind w:left="2160" w:hanging="360"/>
      <w:jc w:val="both"/>
      <w:outlineLvl w:val="2"/>
    </w:pPr>
    <w:rPr>
      <w:rFonts w:ascii="Arial" w:eastAsia="STZhongsong" w:hAnsi="Arial" w:cs="Arial"/>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
    <w:semiHidden/>
    <w:unhideWhenUsed/>
    <w:qFormat/>
    <w:rsid w:val="00DC2F94"/>
    <w:pPr>
      <w:adjustRightInd w:val="0"/>
      <w:spacing w:after="240" w:line="240" w:lineRule="auto"/>
      <w:ind w:left="2880" w:hanging="360"/>
      <w:jc w:val="both"/>
      <w:outlineLvl w:val="3"/>
    </w:pPr>
    <w:rPr>
      <w:rFonts w:ascii="Arial" w:eastAsia="STZhongsong"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rsid w:val="00DC2F94"/>
    <w:pPr>
      <w:adjustRightInd w:val="0"/>
      <w:spacing w:after="240" w:line="240" w:lineRule="auto"/>
      <w:ind w:left="3600" w:hanging="360"/>
      <w:jc w:val="both"/>
      <w:outlineLvl w:val="4"/>
    </w:pPr>
    <w:rPr>
      <w:rFonts w:ascii="Arial" w:eastAsia="STZhongsong" w:hAnsi="Arial" w:cs="Arial"/>
      <w:lang w:eastAsia="zh-CN"/>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rsid w:val="00DC2F94"/>
    <w:pPr>
      <w:adjustRightInd w:val="0"/>
      <w:spacing w:after="240" w:line="240" w:lineRule="auto"/>
      <w:ind w:left="4320" w:hanging="360"/>
      <w:jc w:val="both"/>
      <w:outlineLvl w:val="5"/>
    </w:pPr>
    <w:rPr>
      <w:rFonts w:ascii="Arial" w:eastAsia="STZhongsong" w:hAnsi="Arial" w:cs="Arial"/>
      <w:lang w:eastAsia="zh-CN"/>
    </w:rPr>
  </w:style>
  <w:style w:type="paragraph" w:styleId="Heading7">
    <w:name w:val="heading 7"/>
    <w:aliases w:val="Heading 7 (Do Not Use),Heading 7(unused),Legal Level 1.1.,L2 PIP,Lev 7,H7DO NOT USE,PA Appendix Major"/>
    <w:basedOn w:val="Normal"/>
    <w:link w:val="Heading7Char"/>
    <w:qFormat/>
    <w:rsid w:val="00DC2F94"/>
    <w:pPr>
      <w:adjustRightInd w:val="0"/>
      <w:spacing w:after="240" w:line="240" w:lineRule="auto"/>
      <w:ind w:left="50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DC2F94"/>
    <w:pPr>
      <w:adjustRightInd w:val="0"/>
      <w:spacing w:after="240" w:line="240" w:lineRule="auto"/>
      <w:ind w:left="57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DC2F94"/>
    <w:pPr>
      <w:adjustRightInd w:val="0"/>
      <w:spacing w:after="240" w:line="240" w:lineRule="auto"/>
      <w:ind w:left="64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DC2F94"/>
    <w:rPr>
      <w:rFonts w:ascii="Arial" w:eastAsia="STZhongsong" w:hAnsi="Arial" w:cs="Arial"/>
      <w:lang w:eastAsia="zh-CN"/>
    </w:rPr>
  </w:style>
  <w:style w:type="character" w:customStyle="1" w:styleId="Heading4Char">
    <w:name w:val="Heading 4 Char"/>
    <w:basedOn w:val="DefaultParagraphFont"/>
    <w:link w:val="Heading4"/>
    <w:uiPriority w:val="9"/>
    <w:semiHidden/>
    <w:rsid w:val="00DC2F94"/>
    <w:rPr>
      <w:rFonts w:ascii="Arial" w:eastAsia="STZhongsong" w:hAnsi="Arial" w:cs="Arial"/>
      <w:lang w:eastAsia="zh-CN"/>
    </w:rPr>
  </w:style>
  <w:style w:type="character" w:customStyle="1" w:styleId="Heading5Char">
    <w:name w:val="Heading 5 Char"/>
    <w:basedOn w:val="DefaultParagraphFont"/>
    <w:link w:val="Heading5"/>
    <w:uiPriority w:val="9"/>
    <w:semiHidden/>
    <w:rsid w:val="00DC2F94"/>
    <w:rPr>
      <w:rFonts w:ascii="Arial" w:eastAsia="STZhongsong" w:hAnsi="Arial" w:cs="Arial"/>
      <w:lang w:eastAsia="zh-CN"/>
    </w:rPr>
  </w:style>
  <w:style w:type="character" w:customStyle="1" w:styleId="Heading6Char">
    <w:name w:val="Heading 6 Char"/>
    <w:basedOn w:val="DefaultParagraphFont"/>
    <w:link w:val="Heading6"/>
    <w:uiPriority w:val="9"/>
    <w:semiHidden/>
    <w:rsid w:val="00DC2F94"/>
    <w:rPr>
      <w:rFonts w:ascii="Arial" w:eastAsia="STZhongsong" w:hAnsi="Arial" w:cs="Arial"/>
      <w:lang w:eastAsia="zh-CN"/>
    </w:rPr>
  </w:style>
  <w:style w:type="character" w:customStyle="1" w:styleId="Heading7Char">
    <w:name w:val="Heading 7 Char"/>
    <w:basedOn w:val="DefaultParagraphFont"/>
    <w:link w:val="Heading7"/>
    <w:rsid w:val="00DC2F94"/>
    <w:rPr>
      <w:rFonts w:ascii="Arial" w:eastAsia="STZhongsong" w:hAnsi="Arial" w:cs="Arial"/>
      <w:lang w:eastAsia="zh-CN"/>
    </w:rPr>
  </w:style>
  <w:style w:type="character" w:customStyle="1" w:styleId="Heading8Char">
    <w:name w:val="Heading 8 Char"/>
    <w:basedOn w:val="DefaultParagraphFont"/>
    <w:link w:val="Heading8"/>
    <w:uiPriority w:val="99"/>
    <w:rsid w:val="00DC2F94"/>
    <w:rPr>
      <w:rFonts w:ascii="Arial" w:eastAsia="STZhongsong" w:hAnsi="Arial" w:cs="Arial"/>
      <w:lang w:eastAsia="zh-CN"/>
    </w:rPr>
  </w:style>
  <w:style w:type="character" w:customStyle="1" w:styleId="Heading9Char">
    <w:name w:val="Heading 9 Char"/>
    <w:basedOn w:val="DefaultParagraphFont"/>
    <w:link w:val="Heading9"/>
    <w:uiPriority w:val="99"/>
    <w:rsid w:val="00DC2F94"/>
    <w:rPr>
      <w:rFonts w:ascii="Arial" w:eastAsia="STZhongsong"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FC1F9-88B7-4B47-ACFC-C77A4BDB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Jevan Rai</cp:lastModifiedBy>
  <cp:revision>2</cp:revision>
  <dcterms:created xsi:type="dcterms:W3CDTF">2023-01-30T12:29:00Z</dcterms:created>
  <dcterms:modified xsi:type="dcterms:W3CDTF">2023-01-30T12:29:00Z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